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EB8BE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7CC6AC55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1B9AC559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0DDC92AC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0010DA48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40D95239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4A1F9DFF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7247CB63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61DD5639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刘德胜</w:t>
      </w:r>
      <w:r>
        <w:rPr>
          <w:rFonts w:ascii="Times New Roman" w:hAnsi="Times New Roman" w:cs="Times New Roman"/>
          <w:color w:val="FF0000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王伊晴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企业数据资产信息披露的溢出效应—基于供应链视角</w:t>
      </w:r>
      <w:r>
        <w:rPr>
          <w:rFonts w:ascii="Times New Roman" w:hAnsi="Times New Roman" w:cs="Times New Roman"/>
          <w:color w:val="FF0000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FF0000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65</w:t>
      </w:r>
      <w:r>
        <w:rPr>
          <w:rFonts w:ascii="Times New Roman" w:hAnsi="Times New Roman" w:cs="Times New Roman"/>
          <w:color w:val="FF0000"/>
          <w:sz w:val="21"/>
          <w:szCs w:val="21"/>
        </w:rPr>
        <w:t>-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84</w:t>
      </w:r>
      <w:r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14:paraId="0F1F5B3A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1524DADE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刘德胜</w:t>
      </w:r>
      <w:r>
        <w:rPr>
          <w:rFonts w:ascii="Times New Roman" w:hAnsi="Times New Roman" w:cs="Times New Roman"/>
          <w:color w:val="FF0000"/>
          <w:sz w:val="21"/>
          <w:szCs w:val="21"/>
        </w:rPr>
        <w:t>和</w:t>
      </w:r>
      <w:r>
        <w:rPr>
          <w:rFonts w:hint="eastAsia" w:ascii="Times New Roman" w:hAnsi="Times New Roman" w:cs="Times New Roman"/>
          <w:color w:val="FF0000"/>
          <w:sz w:val="21"/>
          <w:szCs w:val="21"/>
          <w:lang w:val="en-US" w:eastAsia="zh-CN"/>
        </w:rPr>
        <w:t>王伊晴</w:t>
      </w:r>
      <w:r>
        <w:rPr>
          <w:rFonts w:ascii="Times New Roman" w:hAnsi="Times New Roman" w:cs="Times New Roman"/>
          <w:color w:val="FF0000"/>
          <w:sz w:val="21"/>
          <w:szCs w:val="21"/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21C4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18</TotalTime>
  <ScaleCrop>false</ScaleCrop>
  <LinksUpToDate>false</LinksUpToDate>
  <CharactersWithSpaces>525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颖心</cp:lastModifiedBy>
  <dcterms:modified xsi:type="dcterms:W3CDTF">2025-07-20T09:53:55Z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eyJoZGlkIjoiZTY5OTg5OGZjZWFmYmQ4Y2EyODQzNDgyODk0NjlmNTYiLCJ1c2VySWQiOiIzMTQ1ODI0NzQifQ==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70E8AFB5049E4700B5B50F84A856B417_12</vt:lpwstr>
  </property>
</Properties>
</file>